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ayout w:type="fixed"/>
        <w:tblLook w:firstColumn="1" w:firstRow="1" w:lastColumn="0" w:lastRow="0" w:noHBand="0" w:noVBand="1" w:val="04A0"/>
      </w:tblPr>
      <w:tblGrid>
        <w:gridCol w:w="5669"/>
        <w:gridCol w:w="3742"/>
      </w:tblGrid>
      <w:tr>
        <w:tc>
          <w:tcPr>
            <w:tcW w:type="dxa" w:w="5669"/>
            <w:tcMar>
              <w:top w:w="0" w:type="dxa"/>
              <w:start w:w="0" w:type="dxa"/>
              <w:bottom w:w="0" w:type="dxa"/>
              <w:end w:w="0" w:type="dxa"/>
            </w:tcMar>
            <w:tcBorders>
              <w:top w:val="nil"/>
              <w:left w:val="nil"/>
              <w:bottom w:val="nil"/>
              <w:right w:val="nil"/>
              <w:insideH w:val="nil"/>
              <w:insideV w:val="nil"/>
            </w:tcBorders>
          </w:tcPr>
          <w:p>
            <w:pPr>
              <w:spacing w:before="0" w:after="0" w:line="240" w:lineRule="auto"/>
            </w:pPr>
            <w:r>
              <w:rPr>
                <w:rFonts w:ascii="Times New Roman" w:hAnsi="Times New Roman" w:cs="Times New Roman"/>
                <w:b w:val="0"/>
                <w:color w:val="000000"/>
                <w:sz w:val="23"/>
                <w:u w:val="none"/>
              </w:rPr>
              <w:t>Sayı   : 2026/Sicil-32</w:t>
            </w:r>
          </w:p>
        </w:tc>
        <w:tc>
          <w:tcPr>
            <w:tcW w:type="dxa" w:w="3742"/>
            <w:tcMar>
              <w:top w:w="0" w:type="dxa"/>
              <w:start w:w="0" w:type="dxa"/>
              <w:bottom w:w="0" w:type="dxa"/>
              <w:end w:w="0" w:type="dxa"/>
            </w:tcMar>
            <w:tcBorders>
              <w:top w:val="nil"/>
              <w:left w:val="nil"/>
              <w:bottom w:val="nil"/>
              <w:right w:val="nil"/>
              <w:insideH w:val="nil"/>
              <w:insideV w:val="nil"/>
            </w:tcBorders>
          </w:tcPr>
          <w:p>
            <w:pPr>
              <w:spacing w:before="0" w:after="0" w:line="240" w:lineRule="auto"/>
            </w:pPr>
            <w:r/>
          </w:p>
        </w:tc>
      </w:tr>
      <w:tr>
        <w:tc>
          <w:tcPr>
            <w:tcW w:type="dxa" w:w="5669"/>
            <w:tcMar>
              <w:top w:w="0" w:type="dxa"/>
              <w:start w:w="0" w:type="dxa"/>
              <w:bottom w:w="0" w:type="dxa"/>
              <w:end w:w="0" w:type="dxa"/>
            </w:tcMar>
            <w:tcBorders>
              <w:top w:val="nil"/>
              <w:left w:val="nil"/>
              <w:bottom w:val="nil"/>
              <w:right w:val="nil"/>
              <w:insideH w:val="nil"/>
              <w:insideV w:val="nil"/>
            </w:tcBorders>
          </w:tcPr>
          <w:p>
            <w:pPr>
              <w:spacing w:before="0" w:after="0" w:line="240" w:lineRule="auto"/>
            </w:pPr>
            <w:r>
              <w:rPr>
                <w:rFonts w:ascii="Times New Roman" w:hAnsi="Times New Roman" w:cs="Times New Roman"/>
                <w:b w:val="0"/>
                <w:color w:val="000000"/>
                <w:sz w:val="23"/>
                <w:u w:val="none"/>
              </w:rPr>
              <w:t>Konu : Tescile Davet Hk.</w:t>
            </w:r>
          </w:p>
        </w:tc>
        <w:tc>
          <w:tcPr>
            <w:tcW w:type="dxa" w:w="3742"/>
            <w:tcMar>
              <w:top w:w="0" w:type="dxa"/>
              <w:start w:w="0" w:type="dxa"/>
              <w:bottom w:w="0" w:type="dxa"/>
              <w:end w:w="0" w:type="dxa"/>
            </w:tcMar>
            <w:tcBorders>
              <w:top w:val="nil"/>
              <w:left w:val="nil"/>
              <w:bottom w:val="nil"/>
              <w:right w:val="nil"/>
              <w:insideH w:val="nil"/>
              <w:insideV w:val="nil"/>
            </w:tcBorders>
          </w:tcPr>
          <w:p>
            <w:pPr>
              <w:spacing w:before="0" w:after="0" w:line="240" w:lineRule="auto"/>
            </w:pPr>
            <w:r/>
          </w:p>
        </w:tc>
      </w:tr>
      <w:tr>
        <w:tc>
          <w:tcPr>
            <w:tcW w:type="dxa" w:w="5669"/>
            <w:tcMar>
              <w:top w:w="0" w:type="dxa"/>
              <w:start w:w="0" w:type="dxa"/>
              <w:bottom w:w="0" w:type="dxa"/>
              <w:end w:w="0" w:type="dxa"/>
            </w:tcMar>
            <w:tcBorders>
              <w:top w:val="nil"/>
              <w:left w:val="nil"/>
              <w:bottom w:val="nil"/>
              <w:right w:val="nil"/>
              <w:insideH w:val="nil"/>
              <w:insideV w:val="nil"/>
            </w:tcBorders>
          </w:tcPr>
          <w:p>
            <w:pPr>
              <w:spacing w:before="0" w:after="0" w:line="240" w:lineRule="auto"/>
            </w:pPr>
            <w:r/>
          </w:p>
        </w:tc>
        <w:tc>
          <w:tcPr>
            <w:tcW w:type="dxa" w:w="3742"/>
            <w:tcMar>
              <w:top w:w="0" w:type="dxa"/>
              <w:start w:w="0" w:type="dxa"/>
              <w:bottom w:w="0" w:type="dxa"/>
              <w:end w:w="0" w:type="dxa"/>
            </w:tcMar>
            <w:tcBorders>
              <w:top w:val="nil"/>
              <w:left w:val="nil"/>
              <w:bottom w:val="nil"/>
              <w:right w:val="nil"/>
              <w:insideH w:val="nil"/>
              <w:insideV w:val="nil"/>
            </w:tcBorders>
          </w:tcPr>
          <w:p>
            <w:pPr>
              <w:spacing w:before="0" w:after="0" w:line="240" w:lineRule="auto"/>
              <w:jc w:val="right"/>
            </w:pPr>
            <w:r>
              <w:rPr>
                <w:rFonts w:ascii="Times New Roman" w:hAnsi="Times New Roman" w:cs="Times New Roman"/>
                <w:b w:val="0"/>
                <w:color w:val="000000"/>
                <w:sz w:val="23"/>
                <w:u w:val="none"/>
              </w:rPr>
              <w:t>24.09.2026</w:t>
            </w:r>
          </w:p>
        </w:tc>
      </w:tr>
    </w:tbl>
    <w:p>
      <w:pPr>
        <w:spacing w:before="260" w:after="240" w:line="252" w:lineRule="auto"/>
        <w:jc w:val="center"/>
      </w:pPr>
      <w:r>
        <w:rPr>
          <w:rFonts w:ascii="Times New Roman" w:hAnsi="Times New Roman" w:cs="Times New Roman"/>
          <w:b w:val="0"/>
          <w:color w:val="000000"/>
          <w:sz w:val="25"/>
          <w:u w:val="none"/>
        </w:rPr>
        <w:t>Sayın: SABRİ CAN AFACAN</w:t>
      </w:r>
      <w:r>
        <w:rPr>
          <w:rFonts w:ascii="Times New Roman" w:hAnsi="Times New Roman" w:cs="Times New Roman"/>
          <w:b w:val="0"/>
          <w:color w:val="000000"/>
          <w:sz w:val="24"/>
          <w:u w:val="none"/>
        </w:rPr>
        <w:br/>
      </w:r>
      <w:r>
        <w:rPr>
          <w:rFonts w:ascii="Times New Roman" w:hAnsi="Times New Roman" w:cs="Times New Roman"/>
          <w:b w:val="0"/>
          <w:color w:val="000000"/>
          <w:sz w:val="24"/>
          <w:u w:val="none"/>
        </w:rPr>
        <w:t>YAĞCILAR MAH. 1420 NOLU SK. 13/5 ADAPAZARI/SAKARYA</w:t>
      </w:r>
    </w:p>
    <w:p>
      <w:pPr>
        <w:spacing w:before="80" w:after="180" w:line="240" w:lineRule="auto"/>
        <w:ind w:left="510" w:hanging="510"/>
        <w:jc w:val="both"/>
      </w:pPr>
      <w:r>
        <w:rPr>
          <w:rFonts w:ascii="Times New Roman" w:hAnsi="Times New Roman" w:cs="Times New Roman"/>
          <w:b w:val="0"/>
          <w:color w:val="000000"/>
          <w:sz w:val="23"/>
          <w:u w:val="none"/>
        </w:rPr>
        <w:t xml:space="preserve">İlgi    :  </w:t>
      </w:r>
      <w:r>
        <w:rPr>
          <w:rFonts w:ascii="Times New Roman" w:hAnsi="Times New Roman" w:cs="Times New Roman"/>
          <w:b w:val="0"/>
          <w:color w:val="000000"/>
          <w:sz w:val="23"/>
          <w:u w:val="none"/>
        </w:rPr>
        <w:t>Türkiye Esnaf ve Sanatkârları Konfederasyonu, Teşkilat ve İlgili Kuruluşlar Müdürlüğü'nün 21.11.2025 Tarih ve 84970893-420.05-420/106 Sayılı yazısı.</w:t>
      </w:r>
    </w:p>
    <w:p>
      <w:pPr>
        <w:spacing w:before="0" w:after="120" w:line="240" w:lineRule="auto"/>
        <w:ind w:firstLine="454"/>
        <w:jc w:val="both"/>
      </w:pPr>
      <w:r>
        <w:rPr>
          <w:rFonts w:ascii="Times New Roman" w:hAnsi="Times New Roman" w:cs="Times New Roman"/>
          <w:b w:val="0"/>
          <w:color w:val="000000"/>
          <w:sz w:val="23"/>
          <w:u w:val="none"/>
        </w:rPr>
        <w:t>T.C. Ticaret Bakanlığı, Esnaf, Sanatkârlar ve Kooperatifçilik Genel Müdürlüğü ve Türkiye Esnaf ve Sanatkârları Konfederasyonu, Teşkilat ve İlgili Kuruluşlar Müdürlüğü'nün ilgi yazısına istinaden, Sakarya Esnaf ve Sanatkârlar Sicil Müdürlüğümüz kayıtlarında yaptığımız tetkik sonucu kaydınıza rastlanmamıştır.</w:t>
      </w:r>
    </w:p>
    <w:p>
      <w:pPr>
        <w:spacing w:before="0" w:after="120" w:line="240" w:lineRule="auto"/>
        <w:ind w:firstLine="454"/>
        <w:jc w:val="both"/>
      </w:pPr>
      <w:r>
        <w:rPr>
          <w:rFonts w:ascii="Times New Roman" w:hAnsi="Times New Roman" w:cs="Times New Roman"/>
          <w:b w:val="0"/>
          <w:color w:val="000000"/>
          <w:sz w:val="23"/>
          <w:u w:val="none"/>
        </w:rPr>
        <w:t>Bilindiği üzere; 5362 sayılı Esnaf ve Sanatkârlar Meslek Kuruluşları Kanununun “Sicile kayıt mecburiyeti ve sicil işlemleri” başlıklı 68 inci maddesi;</w:t>
      </w:r>
    </w:p>
    <w:p>
      <w:pPr>
        <w:spacing w:before="0" w:after="120" w:line="240" w:lineRule="auto"/>
        <w:ind w:firstLine="454"/>
        <w:jc w:val="both"/>
      </w:pPr>
      <w:r>
        <w:rPr>
          <w:rFonts w:ascii="Times New Roman" w:hAnsi="Times New Roman" w:cs="Times New Roman"/>
          <w:b w:val="0"/>
          <w:color w:val="000000"/>
          <w:sz w:val="23"/>
          <w:u w:val="none"/>
        </w:rPr>
      </w:r>
      <w:r>
        <w:rPr>
          <w:rFonts w:ascii="Times New Roman" w:hAnsi="Times New Roman" w:cs="Times New Roman"/>
          <w:b w:val="0"/>
          <w:color w:val="000000"/>
          <w:sz w:val="23"/>
          <w:u w:val="none"/>
        </w:rPr>
        <w:t xml:space="preserve">Kanun kapsamındaki esnaf ve sanatkârların çalışmaya başladıkları tarihten itibaren otuz gün içinde sicile tescil ve ilan yükümlülüğünü düzenlemektedir. </w:t>
      </w:r>
      <w:r>
        <w:rPr>
          <w:rFonts w:ascii="Times New Roman" w:hAnsi="Times New Roman" w:cs="Times New Roman"/>
          <w:b/>
          <w:color w:val="000000"/>
          <w:sz w:val="23"/>
          <w:u w:val="none"/>
        </w:rPr>
        <w:t>6102 sayılı Türk Ticaret Kanunu’nun 33’üncü maddesinin birinci fıkrası</w:t>
      </w:r>
      <w:r>
        <w:rPr>
          <w:rFonts w:ascii="Times New Roman" w:hAnsi="Times New Roman" w:cs="Times New Roman"/>
          <w:b w:val="0"/>
          <w:color w:val="000000"/>
          <w:sz w:val="23"/>
          <w:u w:val="none"/>
        </w:rPr>
        <w:t xml:space="preserve"> ise ilgililerin tescil yükümlülüğünü yerine getirmeye veya tescili gerektiren sebeplerin bulunmadığını ispat etmeye davet edilmesini öngörmektedir.</w:t>
      </w:r>
    </w:p>
    <w:p>
      <w:pPr>
        <w:spacing w:before="0" w:after="120" w:line="240" w:lineRule="auto"/>
        <w:ind w:firstLine="454"/>
        <w:jc w:val="both"/>
      </w:pPr>
      <w:r>
        <w:rPr>
          <w:rFonts w:ascii="Times New Roman" w:hAnsi="Times New Roman" w:cs="Times New Roman"/>
          <w:b w:val="0"/>
          <w:color w:val="000000"/>
          <w:sz w:val="23"/>
          <w:u w:val="none"/>
        </w:rPr>
      </w:r>
      <w:r>
        <w:rPr>
          <w:rFonts w:ascii="Times New Roman" w:hAnsi="Times New Roman" w:cs="Times New Roman"/>
          <w:b w:val="0"/>
          <w:color w:val="000000"/>
          <w:sz w:val="23"/>
          <w:u w:val="none"/>
        </w:rPr>
        <w:t xml:space="preserve">Bu kapsamda, </w:t>
      </w:r>
      <w:r>
        <w:rPr>
          <w:rFonts w:ascii="Times New Roman" w:hAnsi="Times New Roman" w:cs="Times New Roman"/>
          <w:b/>
          <w:color w:val="000000"/>
          <w:sz w:val="23"/>
          <w:u w:val="none"/>
        </w:rPr>
        <w:t>30625 sayılı Resmî Gazete’de yayımlanan Esnaf ve Sanatkârlar Sicili Yönetmeliği’nin 38’inci maddesi</w:t>
      </w:r>
      <w:r>
        <w:rPr>
          <w:rFonts w:ascii="Times New Roman" w:hAnsi="Times New Roman" w:cs="Times New Roman"/>
          <w:b w:val="0"/>
          <w:color w:val="000000"/>
          <w:sz w:val="23"/>
          <w:u w:val="none"/>
        </w:rPr>
        <w:t xml:space="preserve"> gereğince, </w:t>
      </w:r>
      <w:r>
        <w:rPr>
          <w:rFonts w:ascii="Times New Roman" w:hAnsi="Times New Roman" w:cs="Times New Roman"/>
          <w:b/>
          <w:color w:val="000000"/>
          <w:sz w:val="23"/>
          <w:u w:val="single"/>
        </w:rPr>
        <w:t>yazımızın tebliğinden itibaren 30 (otuz) gün içinde</w:t>
      </w:r>
      <w:r>
        <w:rPr>
          <w:rFonts w:ascii="Times New Roman" w:hAnsi="Times New Roman" w:cs="Times New Roman"/>
          <w:b w:val="0"/>
          <w:color w:val="000000"/>
          <w:sz w:val="23"/>
          <w:u w:val="none"/>
        </w:rPr>
        <w:t xml:space="preserve"> Müdürlüğümüze başvurarak tescil işlemlerinizi tamamlamanız; mevcut bir sicil kaydınızın bulunması veya tescil yükümlülüğünüzün olmadığını değerlendirmeniz hâlinde ise ilgili bilgi ve belgeleri aynı süre içinde yazılı olarak sunmanız gerekmektedir.</w:t>
      </w:r>
    </w:p>
    <w:p>
      <w:pPr>
        <w:spacing w:before="0" w:after="120" w:line="240" w:lineRule="auto"/>
        <w:ind w:firstLine="454"/>
        <w:jc w:val="both"/>
      </w:pPr>
      <w:r>
        <w:rPr>
          <w:rFonts w:ascii="Times New Roman" w:hAnsi="Times New Roman" w:cs="Times New Roman"/>
          <w:b w:val="0"/>
          <w:color w:val="000000"/>
          <w:sz w:val="23"/>
          <w:u w:val="none"/>
        </w:rPr>
      </w:r>
      <w:r>
        <w:rPr>
          <w:rFonts w:ascii="Times New Roman" w:hAnsi="Times New Roman" w:cs="Times New Roman"/>
          <w:b w:val="0"/>
          <w:color w:val="000000"/>
          <w:sz w:val="23"/>
          <w:u w:val="none"/>
        </w:rPr>
        <w:t xml:space="preserve">Tescil yükümlülüğünüz bulunmasına rağmen belirtilen sürede </w:t>
      </w:r>
      <w:r>
        <w:rPr>
          <w:rFonts w:ascii="Times New Roman" w:hAnsi="Times New Roman" w:cs="Times New Roman"/>
          <w:b/>
          <w:color w:val="000000"/>
          <w:sz w:val="23"/>
          <w:u w:val="none"/>
        </w:rPr>
        <w:t>tescil başvurusunda bulunmamanız ve kaçınma sebeplerinizi de bildirmemeniz</w:t>
      </w:r>
      <w:r>
        <w:rPr>
          <w:rFonts w:ascii="Times New Roman" w:hAnsi="Times New Roman" w:cs="Times New Roman"/>
          <w:b w:val="0"/>
          <w:color w:val="000000"/>
          <w:sz w:val="23"/>
          <w:u w:val="none"/>
        </w:rPr>
        <w:t xml:space="preserve"> hâlinde, </w:t>
      </w:r>
      <w:r>
        <w:rPr>
          <w:rFonts w:ascii="Times New Roman" w:hAnsi="Times New Roman" w:cs="Times New Roman"/>
          <w:b/>
          <w:color w:val="000000"/>
          <w:sz w:val="23"/>
          <w:u w:val="none"/>
        </w:rPr>
        <w:t>6102 sayılı Kanun’un 33’üncü maddesinin ikinci fıkrası</w:t>
      </w:r>
      <w:r>
        <w:rPr>
          <w:rFonts w:ascii="Times New Roman" w:hAnsi="Times New Roman" w:cs="Times New Roman"/>
          <w:b w:val="0"/>
          <w:color w:val="000000"/>
          <w:sz w:val="23"/>
          <w:u w:val="none"/>
        </w:rPr>
        <w:t xml:space="preserve"> uyarınca, Sicil Müdürünce verilen süre içinde tescil isteminde bulunmayan ve kaçınma sebeplerini de bildirmeyen kişi, sicil müdürünün teklifi üzerine mahallin en büyük mülki amiri tarafından </w:t>
      </w:r>
      <w:r>
        <w:rPr>
          <w:rFonts w:ascii="Times New Roman" w:hAnsi="Times New Roman" w:cs="Times New Roman"/>
          <w:b/>
          <w:color w:val="000000"/>
          <w:sz w:val="23"/>
          <w:u w:val="single"/>
        </w:rPr>
        <w:t>22.194,00 TL (Yirmi İki Bin Yüz Doksan Dört Türk Lirası) idari para cezasıyla cezalandırılır.</w:t>
      </w:r>
      <w:r>
        <w:rPr>
          <w:rFonts w:ascii="Times New Roman" w:hAnsi="Times New Roman" w:cs="Times New Roman"/>
          <w:b w:val="0"/>
          <w:color w:val="000000"/>
          <w:sz w:val="23"/>
          <w:u w:val="none"/>
        </w:rPr>
        <w:t xml:space="preserve"> Para cezası uygulanması, sicile tescil yükümlülüğünü ortadan kaldırmamaktadır.</w:t>
      </w:r>
    </w:p>
    <w:p>
      <w:pPr>
        <w:spacing w:before="0" w:after="140" w:line="240" w:lineRule="auto"/>
        <w:ind w:firstLine="454"/>
        <w:jc w:val="both"/>
      </w:pPr>
      <w:r>
        <w:rPr>
          <w:rFonts w:ascii="Times New Roman" w:hAnsi="Times New Roman" w:cs="Times New Roman"/>
          <w:b w:val="0"/>
          <w:color w:val="000000"/>
          <w:sz w:val="23"/>
          <w:u w:val="none"/>
        </w:rPr>
        <w:t>Hükmüne yer verilmiştir.</w:t>
      </w:r>
    </w:p>
    <w:p>
      <w:pPr>
        <w:spacing w:before="0" w:after="100" w:line="240" w:lineRule="auto"/>
        <w:ind w:firstLine="454"/>
        <w:jc w:val="both"/>
      </w:pPr>
      <w:r>
        <w:rPr>
          <w:rFonts w:ascii="Times New Roman" w:hAnsi="Times New Roman" w:cs="Times New Roman"/>
          <w:b w:val="0"/>
          <w:color w:val="000000"/>
          <w:sz w:val="23"/>
          <w:u w:val="none"/>
        </w:rPr>
      </w:r>
      <w:r>
        <w:rPr>
          <w:rFonts w:ascii="Times New Roman" w:hAnsi="Times New Roman" w:cs="Times New Roman"/>
          <w:b w:val="0"/>
          <w:color w:val="000000"/>
          <w:sz w:val="23"/>
          <w:u w:val="none"/>
        </w:rPr>
        <w:t xml:space="preserve">Yasal yaptırımlarla karşılaşmamanız için gerekli işlemleri süresi içinde tamamlamanız hususu </w:t>
      </w:r>
      <w:r>
        <w:rPr>
          <w:rFonts w:ascii="Times New Roman" w:hAnsi="Times New Roman" w:cs="Times New Roman"/>
          <w:b/>
          <w:color w:val="000000"/>
          <w:sz w:val="23"/>
          <w:u w:val="single"/>
        </w:rPr>
        <w:t>ihtaren bildirilir.</w:t>
      </w:r>
    </w:p>
    <w:p>
      <w:pPr>
        <w:spacing w:before="0" w:after="0" w:line="240" w:lineRule="auto"/>
        <w:ind w:firstLine="454"/>
        <w:jc w:val="both"/>
      </w:pPr>
      <w:r>
        <w:rPr>
          <w:rFonts w:ascii="Times New Roman" w:hAnsi="Times New Roman" w:cs="Times New Roman"/>
          <w:b w:val="0"/>
          <w:color w:val="000000"/>
          <w:sz w:val="23"/>
          <w:u w:val="none"/>
        </w:rPr>
        <w:t>Bilgilerinizi ve gereğini rica ederim.</w:t>
      </w:r>
    </w:p>
    <w:p>
      <w:r>
        <w:br w:type="page"/>
      </w:r>
    </w:p>
    <w:p>
      <w:pPr>
        <w:spacing w:before="0" w:after="0" w:line="264" w:lineRule="auto"/>
        <w:ind w:right="567"/>
        <w:jc w:val="right"/>
      </w:pPr>
      <w:r>
        <w:rPr>
          <w:rFonts w:ascii="Times New Roman" w:hAnsi="Times New Roman" w:cs="Times New Roman"/>
          <w:b w:val="0"/>
          <w:color w:val="000000"/>
          <w:sz w:val="24"/>
          <w:u w:val="none"/>
        </w:rPr>
        <w:t>Kemal CEYLAN</w:t>
      </w:r>
      <w:r>
        <w:rPr>
          <w:rFonts w:ascii="Times New Roman" w:hAnsi="Times New Roman" w:cs="Times New Roman"/>
          <w:b w:val="0"/>
          <w:color w:val="000000"/>
          <w:sz w:val="24"/>
          <w:u w:val="none"/>
        </w:rPr>
        <w:br/>
      </w:r>
      <w:r>
        <w:rPr>
          <w:rFonts w:ascii="Times New Roman" w:hAnsi="Times New Roman" w:cs="Times New Roman"/>
          <w:b w:val="0"/>
          <w:color w:val="000000"/>
          <w:sz w:val="24"/>
          <w:u w:val="none"/>
        </w:rPr>
        <w:t>Sakarya Esnaf ve Sanatkâr</w:t>
      </w:r>
      <w:r>
        <w:rPr>
          <w:rFonts w:ascii="Times New Roman" w:hAnsi="Times New Roman" w:cs="Times New Roman"/>
          <w:b w:val="0"/>
          <w:color w:val="000000"/>
          <w:sz w:val="24"/>
          <w:u w:val="none"/>
        </w:rPr>
        <w:br/>
      </w:r>
      <w:r>
        <w:rPr>
          <w:rFonts w:ascii="Times New Roman" w:hAnsi="Times New Roman" w:cs="Times New Roman"/>
          <w:b w:val="0"/>
          <w:color w:val="000000"/>
          <w:sz w:val="24"/>
          <w:u w:val="none"/>
        </w:rPr>
        <w:t>Sicil Müdürü</w:t>
      </w:r>
    </w:p>
    <w:p>
      <w:pPr>
        <w:spacing w:before="1900" w:after="100" w:line="240" w:lineRule="auto"/>
      </w:pPr>
      <w:r>
        <w:rPr>
          <w:rFonts w:ascii="Times New Roman" w:hAnsi="Times New Roman" w:cs="Times New Roman"/>
          <w:b/>
          <w:color w:val="000000"/>
          <w:sz w:val="24"/>
          <w:u w:val="single"/>
        </w:rPr>
        <w:t>Sicile Tescil İçin İstenen Belgeler</w:t>
      </w:r>
    </w:p>
    <w:p>
      <w:pPr>
        <w:spacing w:before="0" w:after="40" w:line="240" w:lineRule="auto"/>
        <w:ind w:left="567" w:hanging="397"/>
      </w:pPr>
      <w:r>
        <w:rPr>
          <w:rFonts w:ascii="Times New Roman" w:hAnsi="Times New Roman" w:cs="Times New Roman"/>
          <w:b w:val="0"/>
          <w:color w:val="000000"/>
          <w:sz w:val="23"/>
          <w:u w:val="none"/>
        </w:rPr>
        <w:t>1)  Kimlik Fotokopisi</w:t>
      </w:r>
    </w:p>
    <w:p>
      <w:pPr>
        <w:spacing w:before="0" w:after="40" w:line="240" w:lineRule="auto"/>
        <w:ind w:left="567" w:hanging="397"/>
      </w:pPr>
      <w:r>
        <w:rPr>
          <w:rFonts w:ascii="Times New Roman" w:hAnsi="Times New Roman" w:cs="Times New Roman"/>
          <w:b w:val="0"/>
          <w:color w:val="000000"/>
          <w:sz w:val="23"/>
          <w:u w:val="none"/>
        </w:rPr>
        <w:t>2)  Vergi Levhası</w:t>
      </w:r>
    </w:p>
    <w:p>
      <w:pPr>
        <w:spacing w:before="0" w:after="40" w:line="240" w:lineRule="auto"/>
        <w:ind w:left="567" w:hanging="397"/>
      </w:pPr>
      <w:r>
        <w:rPr>
          <w:rFonts w:ascii="Times New Roman" w:hAnsi="Times New Roman" w:cs="Times New Roman"/>
          <w:b w:val="0"/>
          <w:color w:val="000000"/>
          <w:sz w:val="23"/>
          <w:u w:val="none"/>
        </w:rPr>
        <w:t>3)  1 Adet Vesikalık Fotoğraf</w:t>
      </w:r>
    </w:p>
    <w:p>
      <w:pPr>
        <w:spacing w:before="0" w:after="40" w:line="240" w:lineRule="auto"/>
        <w:ind w:left="567" w:hanging="397"/>
      </w:pPr>
      <w:r>
        <w:rPr>
          <w:rFonts w:ascii="Times New Roman" w:hAnsi="Times New Roman" w:cs="Times New Roman"/>
          <w:b w:val="0"/>
          <w:color w:val="000000"/>
          <w:sz w:val="23"/>
          <w:u w:val="none"/>
        </w:rPr>
        <w:t>4)  İkametgah Belgesi (Araç Sahipleri ve Gezici Esnaf İçin)</w:t>
      </w:r>
    </w:p>
    <w:p>
      <w:pPr>
        <w:spacing w:before="0" w:after="40" w:line="240" w:lineRule="auto"/>
        <w:ind w:left="567" w:hanging="397"/>
      </w:pPr>
      <w:r>
        <w:rPr>
          <w:rFonts w:ascii="Times New Roman" w:hAnsi="Times New Roman" w:cs="Times New Roman"/>
          <w:b w:val="0"/>
          <w:color w:val="000000"/>
          <w:sz w:val="23"/>
          <w:u w:val="none"/>
        </w:rPr>
        <w:t>5)  Tescil İçin, Defter Türü Basit Usül veya İşletme Defteri Olması Gerekmektedir.</w:t>
      </w:r>
    </w:p>
    <w:p>
      <w:pPr>
        <w:spacing w:before="0" w:after="40" w:line="240" w:lineRule="auto"/>
        <w:ind w:left="567" w:hanging="397"/>
      </w:pPr>
      <w:r>
        <w:rPr>
          <w:rFonts w:ascii="Times New Roman" w:hAnsi="Times New Roman" w:cs="Times New Roman"/>
          <w:b w:val="0"/>
          <w:color w:val="000000"/>
          <w:sz w:val="23"/>
          <w:u w:val="none"/>
        </w:rPr>
        <w:t>6)  Son Dönem Geçici Vergi Beyannamesi (2026 Öncesi Vergi Açılışları İçin)</w:t>
      </w:r>
    </w:p>
    <w:p>
      <w:pPr>
        <w:spacing w:before="0" w:after="40" w:line="240" w:lineRule="auto"/>
        <w:ind w:left="567" w:hanging="397"/>
      </w:pPr>
      <w:r>
        <w:rPr>
          <w:rFonts w:ascii="Times New Roman" w:hAnsi="Times New Roman" w:cs="Times New Roman"/>
          <w:b w:val="0"/>
          <w:color w:val="000000"/>
          <w:sz w:val="23"/>
          <w:u w:val="none"/>
        </w:rPr>
        <w:t>7)  Başvuru İçin, Esnaf ve Sanatkarın Kendisi veya Noter Kanalıyla Yetkilendirilmiş Kişi</w:t>
      </w:r>
    </w:p>
    <w:sectPr w:rsidR="00FC693F" w:rsidRPr="0006063C" w:rsidSect="00034616">
      <w:headerReference w:type="first" r:id="rId9"/>
      <w:footerReference w:type="first" r:id="rId10"/>
      <w:footerReference w:type="default" r:id="rId11"/>
      <w:pgSz w:w="11906" w:h="16838"/>
      <w:pgMar w:top="2098" w:right="1191" w:bottom="1134" w:left="1191" w:header="198" w:footer="312"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line="240" w:lineRule="auto"/>
      <w:jc w:val="left"/>
    </w:pPr>
    <w:r>
      <w:rPr>
        <w:rFonts w:ascii="Times New Roman" w:hAnsi="Times New Roman" w:cs="Times New Roman"/>
        <w:b w:val="0"/>
        <w:color w:val="1F4E79"/>
        <w:sz w:val="16"/>
        <w:u w:val="none"/>
      </w:rPr>
      <w:t>Adres       : Yeni Mahalle Sakarya Caddesi No: 281 Erenler/SAKARYA</w:t>
      <w:br/>
    </w:r>
    <w:r>
      <w:rPr>
        <w:rFonts w:ascii="Times New Roman" w:hAnsi="Times New Roman" w:cs="Times New Roman"/>
        <w:b w:val="0"/>
        <w:color w:val="1F4E79"/>
        <w:sz w:val="16"/>
        <w:u w:val="none"/>
      </w:rPr>
      <w:t>Tel           : 0 264 282 37 50 (3 Hat)</w:t>
      <w:br/>
    </w:r>
    <w:r>
      <w:rPr>
        <w:rFonts w:ascii="Times New Roman" w:hAnsi="Times New Roman" w:cs="Times New Roman"/>
        <w:b w:val="0"/>
        <w:color w:val="1F4E79"/>
        <w:sz w:val="16"/>
        <w:u w:val="none"/>
      </w:rPr>
      <w:t>Kep Adresi : sakaryaesob@hs03.kep.tr</w:t>
      <w:br/>
    </w:r>
    <w:r>
      <w:rPr>
        <w:rFonts w:ascii="Times New Roman" w:hAnsi="Times New Roman" w:cs="Times New Roman"/>
        <w:b w:val="0"/>
        <w:color w:val="1F4E79"/>
        <w:sz w:val="16"/>
        <w:u w:val="none"/>
      </w:rPr>
      <w:t>Web Sitesi : www.sesob.org.tr</w:t>
      <w:br/>
    </w:r>
    <w:r>
      <w:rPr>
        <w:rFonts w:ascii="Times New Roman" w:hAnsi="Times New Roman" w:cs="Times New Roman"/>
        <w:b w:val="0"/>
        <w:color w:val="1F4E79"/>
        <w:sz w:val="16"/>
        <w:u w:val="none"/>
      </w:rPr>
      <w:t>Mail          : sesob@sesob.org.tr</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Bdr>
        <w:bottom w:val="single" w:sz="8" w:space="1" w:color="1F4E79"/>
      </w:pBd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before="0" w:after="0" w:line="240" w:lineRule="auto"/>
      <w:jc w:val="center"/>
    </w:pPr>
    <w:r>
      <w:drawing>
        <wp:inline xmlns:a="http://schemas.openxmlformats.org/drawingml/2006/main" xmlns:pic="http://schemas.openxmlformats.org/drawingml/2006/picture">
          <wp:extent cx="6263999" cy="1226480"/>
          <wp:docPr id="1" name="Picture 1"/>
          <wp:cNvGraphicFramePr>
            <a:graphicFrameLocks noChangeAspect="1"/>
          </wp:cNvGraphicFramePr>
          <a:graphic>
            <a:graphicData uri="http://schemas.openxmlformats.org/drawingml/2006/picture">
              <pic:pic>
                <pic:nvPicPr>
                  <pic:cNvPr id="0" name="antet.png"/>
                  <pic:cNvPicPr/>
                </pic:nvPicPr>
                <pic:blipFill>
                  <a:blip r:embed="rId1"/>
                  <a:stretch>
                    <a:fillRect/>
                  </a:stretch>
                </pic:blipFill>
                <pic:spPr>
                  <a:xfrm>
                    <a:off x="0" y="0"/>
                    <a:ext cx="6263999" cy="1226480"/>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